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Look w:val="04A0" w:firstRow="1" w:lastRow="0" w:firstColumn="1" w:lastColumn="0" w:noHBand="0" w:noVBand="1"/>
      </w:tblPr>
      <w:tblGrid>
        <w:gridCol w:w="9616"/>
      </w:tblGrid>
      <w:tr w:rsidR="00D17F8A" w:rsidRPr="00D17F8A" w14:paraId="1208B273" w14:textId="77777777" w:rsidTr="00D52277">
        <w:trPr>
          <w:trHeight w:val="985"/>
        </w:trPr>
        <w:tc>
          <w:tcPr>
            <w:tcW w:w="9616" w:type="dxa"/>
            <w:shd w:val="clear" w:color="auto" w:fill="D9D9D9" w:themeFill="background1" w:themeFillShade="D9"/>
            <w:vAlign w:val="center"/>
          </w:tcPr>
          <w:p w14:paraId="3109493B" w14:textId="77777777" w:rsidR="00D17F8A" w:rsidRDefault="00D52277" w:rsidP="00CD5BCB">
            <w:pPr>
              <w:spacing w:line="259" w:lineRule="auto"/>
              <w:rPr>
                <w:b/>
                <w:sz w:val="52"/>
                <w:szCs w:val="52"/>
              </w:rPr>
            </w:pPr>
            <w:r w:rsidRPr="00D52277">
              <w:rPr>
                <w:b/>
                <w:sz w:val="52"/>
                <w:szCs w:val="52"/>
              </w:rPr>
              <w:t>Forebyggelse af brand</w:t>
            </w:r>
          </w:p>
          <w:p w14:paraId="499C7386" w14:textId="769DFF03" w:rsidR="00D52277" w:rsidRPr="00D52277" w:rsidRDefault="00A20635" w:rsidP="00CD5BCB">
            <w:pPr>
              <w:spacing w:line="259" w:lineRule="auto"/>
              <w:rPr>
                <w:b/>
                <w:sz w:val="28"/>
                <w:szCs w:val="28"/>
              </w:rPr>
            </w:pPr>
            <w:r>
              <w:rPr>
                <w:b/>
                <w:sz w:val="28"/>
                <w:szCs w:val="28"/>
              </w:rPr>
              <w:t xml:space="preserve">Ordensregler - </w:t>
            </w:r>
            <w:r w:rsidR="00D52277" w:rsidRPr="00D52277">
              <w:rPr>
                <w:b/>
                <w:sz w:val="28"/>
                <w:szCs w:val="28"/>
              </w:rPr>
              <w:t>Opslag i personaleområder</w:t>
            </w:r>
          </w:p>
        </w:tc>
      </w:tr>
    </w:tbl>
    <w:p w14:paraId="0A8A522C" w14:textId="624C26D0" w:rsidR="00C90A63" w:rsidRPr="00D52277" w:rsidRDefault="00D52277" w:rsidP="00E74A21">
      <w:pPr>
        <w:keepNext/>
        <w:keepLines/>
        <w:tabs>
          <w:tab w:val="left" w:pos="7764"/>
        </w:tabs>
        <w:spacing w:after="0"/>
        <w:rPr>
          <w:i/>
          <w:sz w:val="18"/>
          <w:szCs w:val="18"/>
        </w:rPr>
      </w:pPr>
      <w:r w:rsidRPr="00D52277">
        <w:rPr>
          <w:i/>
          <w:color w:val="FF0000"/>
          <w:sz w:val="18"/>
          <w:szCs w:val="18"/>
        </w:rPr>
        <w:t>[Vejledningsteksten er skrevet med rød + firkantede parenteser og fjernes når instruksen er færdig</w:t>
      </w:r>
      <w:r>
        <w:rPr>
          <w:i/>
          <w:color w:val="FF0000"/>
          <w:sz w:val="18"/>
          <w:szCs w:val="18"/>
        </w:rPr>
        <w:t>.</w:t>
      </w:r>
      <w:r w:rsidR="00BB619F">
        <w:rPr>
          <w:i/>
          <w:color w:val="FF0000"/>
          <w:sz w:val="18"/>
          <w:szCs w:val="18"/>
        </w:rPr>
        <w:t xml:space="preserve"> Al</w:t>
      </w:r>
      <w:r w:rsidR="00D527C5">
        <w:rPr>
          <w:i/>
          <w:color w:val="FF0000"/>
          <w:sz w:val="18"/>
          <w:szCs w:val="18"/>
        </w:rPr>
        <w:t>t</w:t>
      </w:r>
      <w:r w:rsidR="00BB619F">
        <w:rPr>
          <w:i/>
          <w:color w:val="FF0000"/>
          <w:sz w:val="18"/>
          <w:szCs w:val="18"/>
        </w:rPr>
        <w:t xml:space="preserve"> rød tekst er eksempler på punkter til forebyggelse af brand og skal</w:t>
      </w:r>
      <w:r>
        <w:rPr>
          <w:i/>
          <w:color w:val="FF0000"/>
          <w:sz w:val="18"/>
          <w:szCs w:val="18"/>
        </w:rPr>
        <w:t xml:space="preserve"> tilpasses</w:t>
      </w:r>
      <w:r w:rsidR="00BB619F">
        <w:rPr>
          <w:i/>
          <w:color w:val="FF0000"/>
          <w:sz w:val="18"/>
          <w:szCs w:val="18"/>
        </w:rPr>
        <w:t>/suppleres ift.</w:t>
      </w:r>
      <w:r>
        <w:rPr>
          <w:i/>
          <w:color w:val="FF0000"/>
          <w:sz w:val="18"/>
          <w:szCs w:val="18"/>
        </w:rPr>
        <w:t xml:space="preserve"> de aktuelle forhold</w:t>
      </w:r>
      <w:r w:rsidRPr="00D52277">
        <w:rPr>
          <w:i/>
          <w:color w:val="FF0000"/>
          <w:sz w:val="18"/>
          <w:szCs w:val="18"/>
        </w:rPr>
        <w:t>]</w:t>
      </w:r>
    </w:p>
    <w:p w14:paraId="40023B07" w14:textId="77777777" w:rsidR="00C60C06" w:rsidRPr="00844074" w:rsidRDefault="00C60C06" w:rsidP="00E74A21">
      <w:pPr>
        <w:keepNext/>
        <w:keepLines/>
        <w:tabs>
          <w:tab w:val="left" w:pos="7764"/>
        </w:tabs>
        <w:spacing w:after="0"/>
        <w:rPr>
          <w:b/>
          <w:sz w:val="18"/>
          <w:szCs w:val="18"/>
        </w:rPr>
      </w:pPr>
    </w:p>
    <w:tbl>
      <w:tblPr>
        <w:tblStyle w:val="Tabel-Gitter1"/>
        <w:tblpPr w:leftFromText="141" w:rightFromText="141" w:vertAnchor="text" w:tblpY="1"/>
        <w:tblOverlap w:val="never"/>
        <w:tblW w:w="0" w:type="auto"/>
        <w:tblLook w:val="04A0" w:firstRow="1" w:lastRow="0" w:firstColumn="1" w:lastColumn="0" w:noHBand="0" w:noVBand="1"/>
      </w:tblPr>
      <w:tblGrid>
        <w:gridCol w:w="9606"/>
      </w:tblGrid>
      <w:tr w:rsidR="008951D7" w:rsidRPr="00844074" w14:paraId="37B62B51" w14:textId="77777777" w:rsidTr="00C60C06">
        <w:trPr>
          <w:trHeight w:val="502"/>
        </w:trPr>
        <w:tc>
          <w:tcPr>
            <w:tcW w:w="9606" w:type="dxa"/>
            <w:vAlign w:val="center"/>
          </w:tcPr>
          <w:p w14:paraId="3D8C0D94" w14:textId="77777777" w:rsidR="00844074" w:rsidRPr="00844074" w:rsidRDefault="00844074" w:rsidP="00A20635">
            <w:pPr>
              <w:pStyle w:val="Listeafsnit"/>
              <w:numPr>
                <w:ilvl w:val="0"/>
                <w:numId w:val="9"/>
              </w:numPr>
              <w:spacing w:line="276" w:lineRule="auto"/>
              <w:rPr>
                <w:rFonts w:ascii="Verdana" w:hAnsi="Verdana"/>
              </w:rPr>
            </w:pPr>
            <w:r w:rsidRPr="00844074">
              <w:rPr>
                <w:rFonts w:ascii="Verdana" w:hAnsi="Verdana"/>
              </w:rPr>
              <w:t>Porte, adgangsveje og redningsarealer, som er nødvendige for redningsberedskabets rednings- og slukningsarbejde, skal altid være passable. Kortvarig standsning på brandveje kan accepteres, såfremt chaufføren er i umiddelbar nærhed af køretøjet. Beplantning skal holdes nede, så det ikke reducerer brugen af brandvejene og adgangsvejene.</w:t>
            </w:r>
          </w:p>
          <w:p w14:paraId="4100A169" w14:textId="77777777" w:rsidR="00844074" w:rsidRPr="00844074" w:rsidRDefault="00844074" w:rsidP="00A20635">
            <w:pPr>
              <w:pStyle w:val="Listeafsnit"/>
              <w:numPr>
                <w:ilvl w:val="0"/>
                <w:numId w:val="9"/>
              </w:numPr>
              <w:spacing w:line="276" w:lineRule="auto"/>
              <w:rPr>
                <w:rFonts w:ascii="Verdana" w:hAnsi="Verdana"/>
              </w:rPr>
            </w:pPr>
            <w:r w:rsidRPr="00844074">
              <w:rPr>
                <w:rFonts w:ascii="Verdana" w:hAnsi="Verdana"/>
              </w:rPr>
              <w:t xml:space="preserve">Flugtveje, flugtvejspassager og friarealer skal være frie og ryddelige i hele deres bredde. </w:t>
            </w:r>
          </w:p>
          <w:p w14:paraId="41EF481A" w14:textId="77777777" w:rsidR="00844074" w:rsidRPr="00844074" w:rsidRDefault="00844074" w:rsidP="00A20635">
            <w:pPr>
              <w:pStyle w:val="Listeafsnit"/>
              <w:numPr>
                <w:ilvl w:val="0"/>
                <w:numId w:val="9"/>
              </w:numPr>
              <w:spacing w:line="276" w:lineRule="auto"/>
              <w:rPr>
                <w:rFonts w:ascii="Verdana" w:hAnsi="Verdana"/>
              </w:rPr>
            </w:pPr>
            <w:r w:rsidRPr="00844074">
              <w:rPr>
                <w:rFonts w:ascii="Verdana" w:hAnsi="Verdana"/>
              </w:rPr>
              <w:t xml:space="preserve">Der skal være fri adgang til </w:t>
            </w:r>
            <w:proofErr w:type="spellStart"/>
            <w:r w:rsidRPr="00844074">
              <w:rPr>
                <w:rFonts w:ascii="Verdana" w:hAnsi="Verdana"/>
              </w:rPr>
              <w:t>slangevinder</w:t>
            </w:r>
            <w:proofErr w:type="spellEnd"/>
            <w:r w:rsidRPr="00844074">
              <w:rPr>
                <w:rFonts w:ascii="Verdana" w:hAnsi="Verdana"/>
              </w:rPr>
              <w:t xml:space="preserve"> og håndslukningsudstyr.</w:t>
            </w:r>
          </w:p>
          <w:p w14:paraId="3AECE31F" w14:textId="77777777" w:rsidR="00844074" w:rsidRPr="00844074" w:rsidRDefault="00844074" w:rsidP="00A20635">
            <w:pPr>
              <w:pStyle w:val="Listeafsnit"/>
              <w:numPr>
                <w:ilvl w:val="0"/>
                <w:numId w:val="9"/>
              </w:numPr>
              <w:spacing w:line="276" w:lineRule="auto"/>
              <w:rPr>
                <w:rFonts w:ascii="Verdana" w:hAnsi="Verdana"/>
              </w:rPr>
            </w:pPr>
            <w:r w:rsidRPr="00844074">
              <w:rPr>
                <w:rFonts w:ascii="Verdana" w:hAnsi="Verdana"/>
              </w:rPr>
              <w:t>Redningsåbninger skal kunne åbnes indefra uden brug af nøgle eller særligt værktøj. Der skal være fri og uhindret adgang til redningsåbningerne for personer i rummene.</w:t>
            </w:r>
          </w:p>
          <w:p w14:paraId="12FC8E70" w14:textId="77777777" w:rsidR="00844074" w:rsidRPr="00844074" w:rsidRDefault="00844074" w:rsidP="00A20635">
            <w:pPr>
              <w:pStyle w:val="Listeafsnit"/>
              <w:numPr>
                <w:ilvl w:val="0"/>
                <w:numId w:val="9"/>
              </w:numPr>
              <w:spacing w:line="276" w:lineRule="auto"/>
              <w:rPr>
                <w:rFonts w:ascii="Verdana" w:hAnsi="Verdana"/>
              </w:rPr>
            </w:pPr>
            <w:r w:rsidRPr="00844074">
              <w:rPr>
                <w:rFonts w:ascii="Verdana" w:hAnsi="Verdana"/>
              </w:rPr>
              <w:t>Døres, portes og lemmes selvlukkefunktion skal være funktionsdygtig. Døre, porte og lemme skal lukke tætsluttende til fals. Der skal føres jævnlig kontrol med, at disse er funktionsdygtige. Selvlukkemekanismen må ikke sættes ud af funktion, og dørene må ikke fastholdes i åben stilling ved hjælp af kroge, hasper, kiler el.lign.</w:t>
            </w:r>
          </w:p>
          <w:p w14:paraId="18DD89E3" w14:textId="77777777" w:rsidR="00844074" w:rsidRPr="00844074" w:rsidRDefault="00844074" w:rsidP="00A20635">
            <w:pPr>
              <w:pStyle w:val="Listeafsnit"/>
              <w:numPr>
                <w:ilvl w:val="0"/>
                <w:numId w:val="9"/>
              </w:numPr>
              <w:spacing w:line="276" w:lineRule="auto"/>
              <w:rPr>
                <w:rFonts w:ascii="Verdana" w:hAnsi="Verdana"/>
              </w:rPr>
            </w:pPr>
            <w:proofErr w:type="spellStart"/>
            <w:r w:rsidRPr="00844074">
              <w:rPr>
                <w:rFonts w:ascii="Verdana" w:hAnsi="Verdana"/>
              </w:rPr>
              <w:t>Teknikrum</w:t>
            </w:r>
            <w:proofErr w:type="spellEnd"/>
            <w:r w:rsidRPr="00844074">
              <w:rPr>
                <w:rFonts w:ascii="Verdana" w:hAnsi="Verdana"/>
              </w:rPr>
              <w:t xml:space="preserve"> (ventilationsrum, el-tavlerum m.v.) må ikke anvendes til henstilling af inventar, varer og lignende.</w:t>
            </w:r>
          </w:p>
          <w:p w14:paraId="656D2F8C" w14:textId="28C5F590"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w:t>
            </w:r>
            <w:r w:rsidRPr="00844074">
              <w:rPr>
                <w:rFonts w:ascii="Verdana" w:eastAsiaTheme="minorHAnsi" w:hAnsi="Verdana"/>
                <w:color w:val="FF0000"/>
                <w:lang w:eastAsia="en-US"/>
              </w:rPr>
              <w:t>Brug af levende ly</w:t>
            </w:r>
            <w:r>
              <w:rPr>
                <w:rFonts w:ascii="Verdana" w:eastAsiaTheme="minorHAnsi" w:hAnsi="Verdana"/>
                <w:color w:val="FF0000"/>
                <w:lang w:eastAsia="en-US"/>
              </w:rPr>
              <w:t>s eller anden form for åben ild]</w:t>
            </w:r>
            <w:r w:rsidRPr="00844074">
              <w:rPr>
                <w:rFonts w:ascii="Verdana" w:eastAsiaTheme="minorHAnsi" w:hAnsi="Verdana"/>
                <w:color w:val="FF0000"/>
                <w:lang w:eastAsia="en-US"/>
              </w:rPr>
              <w:t xml:space="preserve"> Vær forsigtig med anvendelse af åben ild.</w:t>
            </w:r>
          </w:p>
          <w:p w14:paraId="333FEC4B" w14:textId="77777777"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w:t>
            </w:r>
            <w:r w:rsidRPr="00844074">
              <w:rPr>
                <w:rFonts w:ascii="Verdana" w:eastAsiaTheme="minorHAnsi" w:hAnsi="Verdana"/>
                <w:color w:val="FF0000"/>
                <w:lang w:eastAsia="en-US"/>
              </w:rPr>
              <w:t>Brug af levende ly</w:t>
            </w:r>
            <w:r>
              <w:rPr>
                <w:rFonts w:ascii="Verdana" w:eastAsiaTheme="minorHAnsi" w:hAnsi="Verdana"/>
                <w:color w:val="FF0000"/>
                <w:lang w:eastAsia="en-US"/>
              </w:rPr>
              <w:t xml:space="preserve">s eller anden form for åben ild] </w:t>
            </w:r>
            <w:r w:rsidRPr="00844074">
              <w:rPr>
                <w:rFonts w:ascii="Verdana" w:eastAsiaTheme="minorHAnsi" w:hAnsi="Verdana"/>
                <w:color w:val="FF0000"/>
                <w:lang w:eastAsia="en-US"/>
              </w:rPr>
              <w:t xml:space="preserve">Levende lys of dekorationer skal anbringes i </w:t>
            </w:r>
            <w:proofErr w:type="spellStart"/>
            <w:r w:rsidRPr="00844074">
              <w:rPr>
                <w:rFonts w:ascii="Verdana" w:eastAsiaTheme="minorHAnsi" w:hAnsi="Verdana"/>
                <w:color w:val="FF0000"/>
                <w:lang w:eastAsia="en-US"/>
              </w:rPr>
              <w:t>ubrændbart</w:t>
            </w:r>
            <w:proofErr w:type="spellEnd"/>
            <w:r w:rsidRPr="00844074">
              <w:rPr>
                <w:rFonts w:ascii="Verdana" w:eastAsiaTheme="minorHAnsi" w:hAnsi="Verdana"/>
                <w:color w:val="FF0000"/>
                <w:lang w:eastAsia="en-US"/>
              </w:rPr>
              <w:t xml:space="preserve"> og stabilt underlag og i god afstand fra gardiner og andet brændbart materiale. Tændte lys skal holdes under opsyn.</w:t>
            </w:r>
          </w:p>
          <w:p w14:paraId="470ACB72" w14:textId="1FFCA959" w:rsidR="00844074" w:rsidRPr="00844074" w:rsidRDefault="00844074" w:rsidP="00A20635">
            <w:pPr>
              <w:pStyle w:val="Listeafsnit"/>
              <w:numPr>
                <w:ilvl w:val="0"/>
                <w:numId w:val="9"/>
              </w:numPr>
              <w:spacing w:line="276" w:lineRule="auto"/>
              <w:rPr>
                <w:rFonts w:ascii="Verdana" w:hAnsi="Verdana"/>
                <w:color w:val="FF0000"/>
              </w:rPr>
            </w:pPr>
            <w:r w:rsidRPr="00844074">
              <w:rPr>
                <w:rFonts w:ascii="Verdana" w:hAnsi="Verdana"/>
                <w:color w:val="FF0000"/>
              </w:rPr>
              <w:t>[Retningslinjer for tobaksrygning.]</w:t>
            </w:r>
            <w:r w:rsidRPr="00844074">
              <w:rPr>
                <w:rFonts w:ascii="Verdana" w:eastAsiaTheme="minorHAnsi" w:hAnsi="Verdana"/>
                <w:color w:val="FF0000"/>
                <w:lang w:eastAsia="en-US"/>
              </w:rPr>
              <w:t xml:space="preserve"> Tobaksrygning må kun finde sted inden for de dertil anviste områder.</w:t>
            </w:r>
          </w:p>
          <w:p w14:paraId="042BAE7B" w14:textId="77777777"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sidRPr="00844074">
              <w:rPr>
                <w:rFonts w:ascii="Verdana" w:hAnsi="Verdana"/>
                <w:color w:val="FF0000"/>
              </w:rPr>
              <w:t>[Retningslinjer for tobaksrygning.]</w:t>
            </w:r>
            <w:r>
              <w:rPr>
                <w:rFonts w:ascii="Verdana" w:hAnsi="Verdana"/>
                <w:color w:val="FF0000"/>
              </w:rPr>
              <w:t xml:space="preserve"> </w:t>
            </w:r>
            <w:r w:rsidRPr="00844074">
              <w:rPr>
                <w:rFonts w:ascii="Verdana" w:eastAsiaTheme="minorHAnsi" w:hAnsi="Verdana"/>
                <w:color w:val="FF0000"/>
                <w:lang w:eastAsia="en-US"/>
              </w:rPr>
              <w:t xml:space="preserve">Tobaksaffald skal opsamles i </w:t>
            </w:r>
            <w:proofErr w:type="spellStart"/>
            <w:r w:rsidRPr="00844074">
              <w:rPr>
                <w:rFonts w:ascii="Verdana" w:eastAsiaTheme="minorHAnsi" w:hAnsi="Verdana"/>
                <w:color w:val="FF0000"/>
                <w:lang w:eastAsia="en-US"/>
              </w:rPr>
              <w:t>ubrændbare</w:t>
            </w:r>
            <w:proofErr w:type="spellEnd"/>
            <w:r w:rsidRPr="00844074">
              <w:rPr>
                <w:rFonts w:ascii="Verdana" w:eastAsiaTheme="minorHAnsi" w:hAnsi="Verdana"/>
                <w:color w:val="FF0000"/>
                <w:lang w:eastAsia="en-US"/>
              </w:rPr>
              <w:t xml:space="preserve"> beholdere med låg. Beholderne må kun benyttes til dette formål.</w:t>
            </w:r>
          </w:p>
          <w:p w14:paraId="3ABFFAAA" w14:textId="720019E8"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sidRPr="00844074">
              <w:rPr>
                <w:rFonts w:ascii="Verdana" w:hAnsi="Verdana"/>
                <w:color w:val="FF0000"/>
              </w:rPr>
              <w:t>[R</w:t>
            </w:r>
            <w:r>
              <w:rPr>
                <w:rFonts w:ascii="Verdana" w:hAnsi="Verdana"/>
                <w:color w:val="FF0000"/>
              </w:rPr>
              <w:t>etningslinjer for tobaksrygning</w:t>
            </w:r>
            <w:r w:rsidRPr="00844074">
              <w:rPr>
                <w:rFonts w:ascii="Verdana" w:hAnsi="Verdana"/>
                <w:color w:val="FF0000"/>
              </w:rPr>
              <w:t>]</w:t>
            </w:r>
            <w:r w:rsidRPr="00844074">
              <w:rPr>
                <w:rFonts w:ascii="Verdana" w:eastAsiaTheme="minorHAnsi" w:hAnsi="Verdana"/>
                <w:color w:val="FF0000"/>
                <w:lang w:eastAsia="en-US"/>
              </w:rPr>
              <w:t xml:space="preserve"> Duge, servietter og lignende skal ved aftagning efterses for gløder fra tobaksrygning m.v. og skal anbringes, så en eventuel brand i materialet ikke breder sig.</w:t>
            </w:r>
          </w:p>
          <w:p w14:paraId="59A74918" w14:textId="77777777"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sidRPr="00844074">
              <w:rPr>
                <w:rFonts w:ascii="Verdana" w:eastAsiaTheme="minorHAnsi" w:hAnsi="Verdana"/>
                <w:color w:val="FF0000"/>
              </w:rPr>
              <w:t>[</w:t>
            </w:r>
            <w:r w:rsidRPr="00844074">
              <w:rPr>
                <w:rFonts w:ascii="Verdana" w:hAnsi="Verdana"/>
                <w:color w:val="FF0000"/>
              </w:rPr>
              <w:t xml:space="preserve">Fjernelse af affald.] </w:t>
            </w:r>
            <w:r w:rsidRPr="00844074">
              <w:rPr>
                <w:rFonts w:ascii="Verdana" w:eastAsiaTheme="minorHAnsi" w:hAnsi="Verdana"/>
                <w:color w:val="FF0000"/>
                <w:lang w:eastAsia="en-US"/>
              </w:rPr>
              <w:t>Affaldssække og lignende skal dagligt fjernes og anbringes i et særligt affaldsrum eller i en container.</w:t>
            </w:r>
          </w:p>
          <w:p w14:paraId="1AD164E6" w14:textId="3AB2A20E"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[Placering af servicevogne]</w:t>
            </w:r>
          </w:p>
          <w:p w14:paraId="6763D838" w14:textId="09E5223C"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w:t>
            </w:r>
            <w:r w:rsidRPr="00844074">
              <w:rPr>
                <w:rFonts w:ascii="Verdana" w:eastAsiaTheme="minorHAnsi" w:hAnsi="Verdana"/>
                <w:color w:val="FF0000"/>
                <w:lang w:eastAsia="en-US"/>
              </w:rPr>
              <w:t>Opladning af elektris</w:t>
            </w:r>
            <w:r>
              <w:rPr>
                <w:rFonts w:ascii="Verdana" w:eastAsiaTheme="minorHAnsi" w:hAnsi="Verdana"/>
                <w:color w:val="FF0000"/>
                <w:lang w:eastAsia="en-US"/>
              </w:rPr>
              <w:t>k hjælpeudstyr f.eks. kørestole]</w:t>
            </w:r>
          </w:p>
          <w:p w14:paraId="7C6ABC79" w14:textId="11967187"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w:t>
            </w:r>
            <w:r w:rsidRPr="00844074">
              <w:rPr>
                <w:rFonts w:ascii="Verdana" w:eastAsiaTheme="minorHAnsi" w:hAnsi="Verdana"/>
                <w:color w:val="FF0000"/>
                <w:lang w:eastAsia="en-US"/>
              </w:rPr>
              <w:t xml:space="preserve">Afbrydelse af elektrisk udstyr </w:t>
            </w:r>
            <w:r>
              <w:rPr>
                <w:rFonts w:ascii="Verdana" w:eastAsiaTheme="minorHAnsi" w:hAnsi="Verdana"/>
                <w:color w:val="FF0000"/>
                <w:lang w:eastAsia="en-US"/>
              </w:rPr>
              <w:t>efter brug f.eks. kaffemaskiner]</w:t>
            </w:r>
          </w:p>
          <w:p w14:paraId="25CD6FE2" w14:textId="773EF9A8"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w:t>
            </w:r>
            <w:r w:rsidRPr="00844074">
              <w:rPr>
                <w:rFonts w:ascii="Verdana" w:eastAsiaTheme="minorHAnsi" w:hAnsi="Verdana"/>
                <w:color w:val="FF0000"/>
                <w:lang w:eastAsia="en-US"/>
              </w:rPr>
              <w:t>Specielle retningslinjer for flugtvejspassager gennem sluser</w:t>
            </w:r>
            <w:r>
              <w:rPr>
                <w:rFonts w:ascii="Verdana" w:eastAsiaTheme="minorHAnsi" w:hAnsi="Verdana"/>
                <w:color w:val="FF0000"/>
                <w:lang w:eastAsia="en-US"/>
              </w:rPr>
              <w:t>, f.eks. kassesluser i butikker]</w:t>
            </w:r>
          </w:p>
          <w:p w14:paraId="554A09BE" w14:textId="75377677"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w:t>
            </w:r>
            <w:r w:rsidRPr="00844074">
              <w:rPr>
                <w:rFonts w:ascii="Verdana" w:eastAsiaTheme="minorHAnsi" w:hAnsi="Verdana"/>
                <w:color w:val="FF0000"/>
                <w:lang w:eastAsia="en-US"/>
              </w:rPr>
              <w:t xml:space="preserve">Specielle retningslinjer for flugtvejspassager gennem </w:t>
            </w:r>
            <w:r>
              <w:rPr>
                <w:rFonts w:ascii="Verdana" w:eastAsiaTheme="minorHAnsi" w:hAnsi="Verdana"/>
                <w:color w:val="FF0000"/>
                <w:lang w:eastAsia="en-US"/>
              </w:rPr>
              <w:t>lagerområder, f.eks. i butikker]</w:t>
            </w:r>
          </w:p>
          <w:p w14:paraId="717372D8" w14:textId="48F42A45"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w:t>
            </w:r>
            <w:r w:rsidRPr="00844074">
              <w:rPr>
                <w:rFonts w:ascii="Verdana" w:eastAsiaTheme="minorHAnsi" w:hAnsi="Verdana"/>
                <w:color w:val="FF0000"/>
                <w:lang w:eastAsia="en-US"/>
              </w:rPr>
              <w:t>Anvendelse af let antændelige materialer eller materialer med høj brandbelastning i forbindel</w:t>
            </w:r>
            <w:r>
              <w:rPr>
                <w:rFonts w:ascii="Verdana" w:eastAsiaTheme="minorHAnsi" w:hAnsi="Verdana"/>
                <w:color w:val="FF0000"/>
                <w:lang w:eastAsia="en-US"/>
              </w:rPr>
              <w:t>se med indretning og udsmykning]</w:t>
            </w:r>
          </w:p>
          <w:p w14:paraId="7B853D42" w14:textId="446237CE" w:rsidR="00844074"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lastRenderedPageBreak/>
              <w:t>[Andet]</w:t>
            </w:r>
            <w:r w:rsidRPr="00844074">
              <w:rPr>
                <w:rFonts w:ascii="Verdana" w:eastAsiaTheme="minorHAnsi" w:hAnsi="Verdana"/>
                <w:color w:val="FF0000"/>
                <w:lang w:eastAsia="en-US"/>
              </w:rPr>
              <w:t xml:space="preserve"> Kaffemaskiner, strygejern og lignende elektriske apparater skal altid afbrydes ved stik kontakten efter brugen.</w:t>
            </w:r>
          </w:p>
          <w:p w14:paraId="4F3EF900" w14:textId="5D56A8C4" w:rsidR="00332F2E"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[Andet]</w:t>
            </w:r>
            <w:r w:rsidRPr="00844074">
              <w:rPr>
                <w:rFonts w:ascii="Verdana" w:eastAsiaTheme="minorHAnsi" w:hAnsi="Verdana"/>
                <w:color w:val="FF0000"/>
                <w:lang w:eastAsia="en-US"/>
              </w:rPr>
              <w:t xml:space="preserve"> </w:t>
            </w:r>
            <w:r w:rsidR="00332F2E" w:rsidRPr="00844074">
              <w:rPr>
                <w:rFonts w:ascii="Verdana" w:eastAsiaTheme="minorHAnsi" w:hAnsi="Verdana"/>
                <w:color w:val="FF0000"/>
                <w:lang w:eastAsia="en-US"/>
              </w:rPr>
              <w:t xml:space="preserve">Olieklude m.v. kan selvtænde og skal efter brugen anbringes i </w:t>
            </w:r>
            <w:proofErr w:type="spellStart"/>
            <w:r w:rsidR="00332F2E" w:rsidRPr="00844074">
              <w:rPr>
                <w:rFonts w:ascii="Verdana" w:eastAsiaTheme="minorHAnsi" w:hAnsi="Verdana"/>
                <w:color w:val="FF0000"/>
                <w:lang w:eastAsia="en-US"/>
              </w:rPr>
              <w:t>ubrændbar</w:t>
            </w:r>
            <w:proofErr w:type="spellEnd"/>
            <w:r w:rsidR="00332F2E" w:rsidRPr="00844074">
              <w:rPr>
                <w:rFonts w:ascii="Verdana" w:eastAsiaTheme="minorHAnsi" w:hAnsi="Verdana"/>
                <w:color w:val="FF0000"/>
                <w:lang w:eastAsia="en-US"/>
              </w:rPr>
              <w:t xml:space="preserve"> beholder med låg.</w:t>
            </w:r>
          </w:p>
          <w:p w14:paraId="24A321EA" w14:textId="2677974B" w:rsidR="00332F2E"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[Andet]</w:t>
            </w:r>
            <w:r w:rsidRPr="00844074">
              <w:rPr>
                <w:rFonts w:ascii="Verdana" w:eastAsiaTheme="minorHAnsi" w:hAnsi="Verdana"/>
                <w:color w:val="FF0000"/>
                <w:lang w:eastAsia="en-US"/>
              </w:rPr>
              <w:t xml:space="preserve"> </w:t>
            </w:r>
            <w:r w:rsidR="00332F2E" w:rsidRPr="00844074">
              <w:rPr>
                <w:rFonts w:ascii="Verdana" w:eastAsiaTheme="minorHAnsi" w:hAnsi="Verdana"/>
                <w:color w:val="FF0000"/>
                <w:lang w:eastAsia="en-US"/>
              </w:rPr>
              <w:t>Brandfarlige væsker (f.eks. benzin, petroleum, acetone og sprit) skal anvendes med forsigtighed og opbevares i tillukkede beholdere.</w:t>
            </w:r>
          </w:p>
          <w:p w14:paraId="4D84D648" w14:textId="4BB7BDE1" w:rsidR="00332F2E"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[Andet]</w:t>
            </w:r>
            <w:r w:rsidRPr="00844074">
              <w:rPr>
                <w:rFonts w:ascii="Verdana" w:eastAsiaTheme="minorHAnsi" w:hAnsi="Verdana"/>
                <w:color w:val="FF0000"/>
                <w:lang w:eastAsia="en-US"/>
              </w:rPr>
              <w:t xml:space="preserve"> </w:t>
            </w:r>
            <w:r w:rsidR="00332F2E" w:rsidRPr="00844074">
              <w:rPr>
                <w:rFonts w:ascii="Verdana" w:eastAsiaTheme="minorHAnsi" w:hAnsi="Verdana"/>
                <w:color w:val="FF0000"/>
                <w:lang w:eastAsia="en-US"/>
              </w:rPr>
              <w:t>Selvlukkende døre må kun stå åbne, hvis de ved brand lukker automatisk.</w:t>
            </w:r>
          </w:p>
          <w:p w14:paraId="33EDEC36" w14:textId="17F5DE45" w:rsidR="00332F2E"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[Andet]</w:t>
            </w:r>
            <w:r w:rsidRPr="00844074">
              <w:rPr>
                <w:rFonts w:ascii="Verdana" w:eastAsiaTheme="minorHAnsi" w:hAnsi="Verdana"/>
                <w:color w:val="FF0000"/>
                <w:lang w:eastAsia="en-US"/>
              </w:rPr>
              <w:t xml:space="preserve"> </w:t>
            </w:r>
            <w:r w:rsidR="00332F2E" w:rsidRPr="00844074">
              <w:rPr>
                <w:rFonts w:ascii="Verdana" w:eastAsiaTheme="minorHAnsi" w:hAnsi="Verdana"/>
                <w:color w:val="FF0000"/>
                <w:lang w:eastAsia="en-US"/>
              </w:rPr>
              <w:t>Flugtvejsdøre må ikke spærres, og der må ikke anbringes genstande eller effekter i flugtveje og på trapper.</w:t>
            </w:r>
          </w:p>
          <w:p w14:paraId="58EE50C1" w14:textId="6AED1733" w:rsidR="00332F2E"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[Andet]</w:t>
            </w:r>
            <w:r w:rsidRPr="00844074">
              <w:rPr>
                <w:rFonts w:ascii="Verdana" w:eastAsiaTheme="minorHAnsi" w:hAnsi="Verdana"/>
                <w:color w:val="FF0000"/>
                <w:lang w:eastAsia="en-US"/>
              </w:rPr>
              <w:t xml:space="preserve"> </w:t>
            </w:r>
            <w:r w:rsidR="00332F2E" w:rsidRPr="00844074">
              <w:rPr>
                <w:rFonts w:ascii="Verdana" w:eastAsiaTheme="minorHAnsi" w:hAnsi="Verdana"/>
                <w:color w:val="FF0000"/>
                <w:lang w:eastAsia="en-US"/>
              </w:rPr>
              <w:t>Linnedvogne, rengøringsvogne og lignende må ikke henstilles i flugtveje.</w:t>
            </w:r>
          </w:p>
          <w:p w14:paraId="3BA03201" w14:textId="210EA0AB" w:rsidR="0074306C" w:rsidRPr="00844074" w:rsidRDefault="00844074" w:rsidP="00A20635">
            <w:pPr>
              <w:pStyle w:val="Listeafsnit"/>
              <w:numPr>
                <w:ilvl w:val="0"/>
                <w:numId w:val="9"/>
              </w:numPr>
              <w:spacing w:line="276" w:lineRule="auto"/>
              <w:rPr>
                <w:rFonts w:ascii="Verdana" w:eastAsiaTheme="minorHAnsi" w:hAnsi="Verdana"/>
                <w:color w:val="FF0000"/>
                <w:lang w:eastAsia="en-US"/>
              </w:rPr>
            </w:pPr>
            <w:r>
              <w:rPr>
                <w:rFonts w:ascii="Verdana" w:eastAsiaTheme="minorHAnsi" w:hAnsi="Verdana"/>
                <w:color w:val="FF0000"/>
                <w:lang w:eastAsia="en-US"/>
              </w:rPr>
              <w:t>[Andet]</w:t>
            </w:r>
            <w:r w:rsidRPr="00844074">
              <w:rPr>
                <w:rFonts w:ascii="Verdana" w:eastAsiaTheme="minorHAnsi" w:hAnsi="Verdana"/>
                <w:color w:val="FF0000"/>
                <w:lang w:eastAsia="en-US"/>
              </w:rPr>
              <w:t xml:space="preserve"> </w:t>
            </w:r>
            <w:r w:rsidR="00332F2E" w:rsidRPr="00844074">
              <w:rPr>
                <w:rFonts w:ascii="Verdana" w:eastAsiaTheme="minorHAnsi" w:hAnsi="Verdana"/>
                <w:color w:val="FF0000"/>
                <w:lang w:eastAsia="en-US"/>
              </w:rPr>
              <w:t>Brandslukningsmateriellet skal holdes frit tilgængeligt.</w:t>
            </w:r>
          </w:p>
          <w:p w14:paraId="105428E8" w14:textId="015EAF23" w:rsidR="008951D7" w:rsidRPr="00844074" w:rsidRDefault="008951D7" w:rsidP="0074306C">
            <w:pPr>
              <w:pStyle w:val="Listeafsnit"/>
              <w:spacing w:line="276" w:lineRule="auto"/>
              <w:rPr>
                <w:rFonts w:ascii="Verdana" w:eastAsiaTheme="minorHAnsi" w:hAnsi="Verdana"/>
                <w:sz w:val="18"/>
                <w:szCs w:val="18"/>
                <w:lang w:eastAsia="en-US"/>
              </w:rPr>
            </w:pPr>
          </w:p>
        </w:tc>
      </w:tr>
    </w:tbl>
    <w:p w14:paraId="5C6E7246" w14:textId="7EBFE9F6" w:rsidR="00D17F8A" w:rsidRPr="00B432C8" w:rsidRDefault="00D17F8A" w:rsidP="00151E8D">
      <w:pPr>
        <w:spacing w:after="0"/>
        <w:rPr>
          <w:b/>
          <w:i/>
          <w:sz w:val="18"/>
          <w:szCs w:val="18"/>
        </w:rPr>
      </w:pPr>
    </w:p>
    <w:p w14:paraId="673A1D7C" w14:textId="77777777" w:rsidR="00206E27" w:rsidRDefault="00206E27"/>
    <w:sectPr w:rsidR="00206E27" w:rsidSect="005B2EE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E36A" w14:textId="77777777" w:rsidR="00F75A30" w:rsidRDefault="00F75A30" w:rsidP="009B70AC">
      <w:pPr>
        <w:spacing w:after="0" w:line="240" w:lineRule="auto"/>
      </w:pPr>
      <w:r>
        <w:separator/>
      </w:r>
    </w:p>
  </w:endnote>
  <w:endnote w:type="continuationSeparator" w:id="0">
    <w:p w14:paraId="19CC6687" w14:textId="77777777" w:rsidR="00F75A30" w:rsidRDefault="00F75A30" w:rsidP="009B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26C8" w14:textId="77777777" w:rsidR="00CA41DC" w:rsidRDefault="00CA41D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939119"/>
      <w:docPartObj>
        <w:docPartGallery w:val="Page Numbers (Bottom of Page)"/>
        <w:docPartUnique/>
      </w:docPartObj>
    </w:sdtPr>
    <w:sdtEndPr/>
    <w:sdtContent>
      <w:sdt>
        <w:sdtPr>
          <w:id w:val="-1769616900"/>
          <w:docPartObj>
            <w:docPartGallery w:val="Page Numbers (Top of Page)"/>
            <w:docPartUnique/>
          </w:docPartObj>
        </w:sdtPr>
        <w:sdtEndPr/>
        <w:sdtContent>
          <w:p w14:paraId="1C298EE0" w14:textId="1CF41811" w:rsidR="009B70AC" w:rsidRDefault="003B488E" w:rsidP="009B70AC">
            <w:pPr>
              <w:pStyle w:val="Sidefod"/>
            </w:pPr>
            <w:r>
              <w:rPr>
                <w:i/>
                <w:sz w:val="16"/>
                <w:szCs w:val="16"/>
              </w:rPr>
              <w:t xml:space="preserve">Version 1.0 af </w:t>
            </w:r>
            <w:r w:rsidR="00CA41DC">
              <w:rPr>
                <w:i/>
                <w:sz w:val="16"/>
                <w:szCs w:val="16"/>
              </w:rPr>
              <w:t>4</w:t>
            </w:r>
            <w:r w:rsidR="009B70AC" w:rsidRPr="009B70AC">
              <w:rPr>
                <w:i/>
                <w:sz w:val="16"/>
                <w:szCs w:val="16"/>
              </w:rPr>
              <w:t>/1</w:t>
            </w:r>
            <w:r w:rsidR="00CA41DC">
              <w:rPr>
                <w:i/>
                <w:sz w:val="16"/>
                <w:szCs w:val="16"/>
              </w:rPr>
              <w:t>1</w:t>
            </w:r>
            <w:r w:rsidR="009B70AC" w:rsidRPr="009B70AC">
              <w:rPr>
                <w:i/>
                <w:sz w:val="16"/>
                <w:szCs w:val="16"/>
              </w:rPr>
              <w:t xml:space="preserve"> 202</w:t>
            </w:r>
            <w:r w:rsidR="00CA41DC">
              <w:rPr>
                <w:i/>
                <w:sz w:val="16"/>
                <w:szCs w:val="16"/>
              </w:rPr>
              <w:t>2</w:t>
            </w:r>
            <w:r w:rsidR="009B70AC">
              <w:tab/>
            </w:r>
            <w:r w:rsidR="009B70AC">
              <w:tab/>
              <w:t xml:space="preserve">Side </w:t>
            </w:r>
            <w:r w:rsidR="009B70AC">
              <w:rPr>
                <w:b/>
                <w:bCs/>
                <w:sz w:val="24"/>
                <w:szCs w:val="24"/>
              </w:rPr>
              <w:fldChar w:fldCharType="begin"/>
            </w:r>
            <w:r w:rsidR="009B70AC">
              <w:rPr>
                <w:b/>
                <w:bCs/>
              </w:rPr>
              <w:instrText>PAGE</w:instrText>
            </w:r>
            <w:r w:rsidR="009B70AC">
              <w:rPr>
                <w:b/>
                <w:bCs/>
                <w:sz w:val="24"/>
                <w:szCs w:val="24"/>
              </w:rPr>
              <w:fldChar w:fldCharType="separate"/>
            </w:r>
            <w:r w:rsidR="00DA1091">
              <w:rPr>
                <w:b/>
                <w:bCs/>
                <w:noProof/>
              </w:rPr>
              <w:t>1</w:t>
            </w:r>
            <w:r w:rsidR="009B70AC">
              <w:rPr>
                <w:b/>
                <w:bCs/>
                <w:sz w:val="24"/>
                <w:szCs w:val="24"/>
              </w:rPr>
              <w:fldChar w:fldCharType="end"/>
            </w:r>
            <w:r w:rsidR="009B70AC">
              <w:t xml:space="preserve"> af </w:t>
            </w:r>
            <w:r w:rsidR="009B70AC">
              <w:rPr>
                <w:b/>
                <w:bCs/>
                <w:sz w:val="24"/>
                <w:szCs w:val="24"/>
              </w:rPr>
              <w:fldChar w:fldCharType="begin"/>
            </w:r>
            <w:r w:rsidR="009B70AC">
              <w:rPr>
                <w:b/>
                <w:bCs/>
              </w:rPr>
              <w:instrText>NUMPAGES</w:instrText>
            </w:r>
            <w:r w:rsidR="009B70AC">
              <w:rPr>
                <w:b/>
                <w:bCs/>
                <w:sz w:val="24"/>
                <w:szCs w:val="24"/>
              </w:rPr>
              <w:fldChar w:fldCharType="separate"/>
            </w:r>
            <w:r w:rsidR="00DA1091">
              <w:rPr>
                <w:b/>
                <w:bCs/>
                <w:noProof/>
              </w:rPr>
              <w:t>2</w:t>
            </w:r>
            <w:r w:rsidR="009B70AC">
              <w:rPr>
                <w:b/>
                <w:bCs/>
                <w:sz w:val="24"/>
                <w:szCs w:val="24"/>
              </w:rPr>
              <w:fldChar w:fldCharType="end"/>
            </w:r>
          </w:p>
        </w:sdtContent>
      </w:sdt>
    </w:sdtContent>
  </w:sdt>
  <w:p w14:paraId="015AE01A" w14:textId="77777777" w:rsidR="009B70AC" w:rsidRDefault="009B70A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6240" w14:textId="77777777" w:rsidR="00CA41DC" w:rsidRDefault="00CA41D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9800" w14:textId="77777777" w:rsidR="00F75A30" w:rsidRDefault="00F75A30" w:rsidP="009B70AC">
      <w:pPr>
        <w:spacing w:after="0" w:line="240" w:lineRule="auto"/>
      </w:pPr>
      <w:r>
        <w:separator/>
      </w:r>
    </w:p>
  </w:footnote>
  <w:footnote w:type="continuationSeparator" w:id="0">
    <w:p w14:paraId="04BBBB61" w14:textId="77777777" w:rsidR="00F75A30" w:rsidRDefault="00F75A30" w:rsidP="009B7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6CF4" w14:textId="77777777" w:rsidR="00CA41DC" w:rsidRDefault="00CA41D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CCFB" w14:textId="26102A49" w:rsidR="009B70AC" w:rsidRPr="0035118E" w:rsidRDefault="00DA1091" w:rsidP="00151E8D">
    <w:pPr>
      <w:pStyle w:val="Sidehoved"/>
      <w:spacing w:after="240"/>
    </w:pPr>
    <w:r w:rsidRPr="00DA1091">
      <w:rPr>
        <w:sz w:val="28"/>
        <w:szCs w:val="28"/>
      </w:rPr>
      <w:t>Bilag 4.</w:t>
    </w:r>
    <w:r w:rsidRPr="00DA1091">
      <w:rPr>
        <w:color w:val="FF0000"/>
        <w:sz w:val="28"/>
        <w:szCs w:val="28"/>
      </w:rPr>
      <w:t>x</w:t>
    </w:r>
    <w:r w:rsidR="009B70AC" w:rsidRPr="00DA1091">
      <w:rPr>
        <w:sz w:val="28"/>
        <w:szCs w:val="28"/>
      </w:rPr>
      <w:ptab w:relativeTo="margin" w:alignment="center" w:leader="none"/>
    </w:r>
    <w:r w:rsidR="009B70AC" w:rsidRPr="00DA1091">
      <w:rPr>
        <w:sz w:val="28"/>
        <w:szCs w:val="28"/>
      </w:rPr>
      <w:ptab w:relativeTo="margin" w:alignment="right" w:leader="none"/>
    </w:r>
    <w:r w:rsidR="00CA41DC">
      <w:rPr>
        <w:noProof/>
      </w:rPr>
      <w:drawing>
        <wp:inline distT="0" distB="0" distL="0" distR="0" wp14:anchorId="1F501CB3" wp14:editId="5F69D318">
          <wp:extent cx="914400" cy="914400"/>
          <wp:effectExtent l="0" t="0" r="0" b="0"/>
          <wp:docPr id="2" name="Billede 2" descr="Vejle Brandvæsen_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Vejle Brandvæsen_Logo RG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720C" w14:textId="77777777" w:rsidR="00CA41DC" w:rsidRDefault="00CA41D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3D6"/>
    <w:multiLevelType w:val="hybridMultilevel"/>
    <w:tmpl w:val="9390609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BE5C53"/>
    <w:multiLevelType w:val="hybridMultilevel"/>
    <w:tmpl w:val="5C0820A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5A6266E"/>
    <w:multiLevelType w:val="hybridMultilevel"/>
    <w:tmpl w:val="26AE6E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6E45745"/>
    <w:multiLevelType w:val="hybridMultilevel"/>
    <w:tmpl w:val="7570B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40D37DD"/>
    <w:multiLevelType w:val="hybridMultilevel"/>
    <w:tmpl w:val="B8226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7871890"/>
    <w:multiLevelType w:val="hybridMultilevel"/>
    <w:tmpl w:val="0CE64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1B658EA"/>
    <w:multiLevelType w:val="hybridMultilevel"/>
    <w:tmpl w:val="7E70EC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2BB6016"/>
    <w:multiLevelType w:val="hybridMultilevel"/>
    <w:tmpl w:val="DF401F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DC27747"/>
    <w:multiLevelType w:val="hybridMultilevel"/>
    <w:tmpl w:val="3E7805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2"/>
  </w:num>
  <w:num w:numId="6">
    <w:abstractNumId w:val="0"/>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24D"/>
    <w:rsid w:val="0000719F"/>
    <w:rsid w:val="000A0F3A"/>
    <w:rsid w:val="000E267D"/>
    <w:rsid w:val="001011EF"/>
    <w:rsid w:val="00111730"/>
    <w:rsid w:val="00117DDB"/>
    <w:rsid w:val="00142276"/>
    <w:rsid w:val="00151E8D"/>
    <w:rsid w:val="001B7F61"/>
    <w:rsid w:val="001F6228"/>
    <w:rsid w:val="00206E27"/>
    <w:rsid w:val="002122A7"/>
    <w:rsid w:val="00216C7C"/>
    <w:rsid w:val="00240162"/>
    <w:rsid w:val="00261E56"/>
    <w:rsid w:val="002E0CAE"/>
    <w:rsid w:val="002F1129"/>
    <w:rsid w:val="0031446C"/>
    <w:rsid w:val="00332F2E"/>
    <w:rsid w:val="003378E2"/>
    <w:rsid w:val="0035118E"/>
    <w:rsid w:val="00366A9F"/>
    <w:rsid w:val="00367A91"/>
    <w:rsid w:val="003B024D"/>
    <w:rsid w:val="003B488E"/>
    <w:rsid w:val="0041398F"/>
    <w:rsid w:val="0044432F"/>
    <w:rsid w:val="004F14F7"/>
    <w:rsid w:val="00510C92"/>
    <w:rsid w:val="00527E56"/>
    <w:rsid w:val="0054735A"/>
    <w:rsid w:val="005701B7"/>
    <w:rsid w:val="005B2EE8"/>
    <w:rsid w:val="005E60E5"/>
    <w:rsid w:val="005F58B4"/>
    <w:rsid w:val="00626A5A"/>
    <w:rsid w:val="006A6FBE"/>
    <w:rsid w:val="00722433"/>
    <w:rsid w:val="0074306C"/>
    <w:rsid w:val="0075189F"/>
    <w:rsid w:val="0076093A"/>
    <w:rsid w:val="00777849"/>
    <w:rsid w:val="007B1320"/>
    <w:rsid w:val="007C4863"/>
    <w:rsid w:val="007E0C61"/>
    <w:rsid w:val="00844074"/>
    <w:rsid w:val="00873469"/>
    <w:rsid w:val="008951D7"/>
    <w:rsid w:val="009B70AC"/>
    <w:rsid w:val="009C605F"/>
    <w:rsid w:val="009D298D"/>
    <w:rsid w:val="00A0111A"/>
    <w:rsid w:val="00A20635"/>
    <w:rsid w:val="00A61A1B"/>
    <w:rsid w:val="00A72828"/>
    <w:rsid w:val="00AA1662"/>
    <w:rsid w:val="00AE1547"/>
    <w:rsid w:val="00AF0A1A"/>
    <w:rsid w:val="00B432C8"/>
    <w:rsid w:val="00B82A35"/>
    <w:rsid w:val="00B95C74"/>
    <w:rsid w:val="00BB619F"/>
    <w:rsid w:val="00BE01D5"/>
    <w:rsid w:val="00C60C06"/>
    <w:rsid w:val="00C65849"/>
    <w:rsid w:val="00C90A63"/>
    <w:rsid w:val="00CA41DC"/>
    <w:rsid w:val="00CD5BCB"/>
    <w:rsid w:val="00D05F95"/>
    <w:rsid w:val="00D17F8A"/>
    <w:rsid w:val="00D52277"/>
    <w:rsid w:val="00D527C5"/>
    <w:rsid w:val="00D671D7"/>
    <w:rsid w:val="00DA1091"/>
    <w:rsid w:val="00DA2032"/>
    <w:rsid w:val="00E37416"/>
    <w:rsid w:val="00E63C95"/>
    <w:rsid w:val="00E74A21"/>
    <w:rsid w:val="00EB0583"/>
    <w:rsid w:val="00F00F1C"/>
    <w:rsid w:val="00F55DB3"/>
    <w:rsid w:val="00F622B9"/>
    <w:rsid w:val="00F75A30"/>
    <w:rsid w:val="00FA3FDB"/>
    <w:rsid w:val="00FD7676"/>
    <w:rsid w:val="00FF07E9"/>
    <w:rsid w:val="00FF21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9967"/>
  <w15:docId w15:val="{BD99AB8F-F76B-4A1F-B32C-206F16FA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42276"/>
    <w:pPr>
      <w:keepNext/>
      <w:keepLines/>
      <w:spacing w:before="240" w:after="0"/>
      <w:outlineLvl w:val="0"/>
    </w:pPr>
    <w:rPr>
      <w:rFonts w:eastAsiaTheme="majorEastAsia" w:cstheme="majorBidi"/>
      <w:color w:val="000000" w:themeColor="text1"/>
      <w:sz w:val="32"/>
      <w:szCs w:val="32"/>
    </w:rPr>
  </w:style>
  <w:style w:type="paragraph" w:styleId="Overskrift2">
    <w:name w:val="heading 2"/>
    <w:basedOn w:val="Normal"/>
    <w:next w:val="Normal"/>
    <w:link w:val="Overskrift2Tegn"/>
    <w:uiPriority w:val="9"/>
    <w:unhideWhenUsed/>
    <w:qFormat/>
    <w:rsid w:val="00142276"/>
    <w:pPr>
      <w:keepNext/>
      <w:keepLines/>
      <w:spacing w:before="40" w:after="0"/>
      <w:outlineLvl w:val="1"/>
    </w:pPr>
    <w:rPr>
      <w:rFonts w:eastAsiaTheme="majorEastAsia" w:cstheme="majorBidi"/>
      <w:color w:val="000000" w:themeColor="text1"/>
      <w:sz w:val="28"/>
      <w:szCs w:val="26"/>
    </w:rPr>
  </w:style>
  <w:style w:type="paragraph" w:styleId="Overskrift3">
    <w:name w:val="heading 3"/>
    <w:basedOn w:val="Normal"/>
    <w:next w:val="Normal"/>
    <w:link w:val="Overskrift3Tegn"/>
    <w:uiPriority w:val="9"/>
    <w:semiHidden/>
    <w:unhideWhenUsed/>
    <w:qFormat/>
    <w:rsid w:val="00142276"/>
    <w:pPr>
      <w:keepNext/>
      <w:keepLines/>
      <w:spacing w:before="40" w:after="0"/>
      <w:outlineLvl w:val="2"/>
    </w:pPr>
    <w:rPr>
      <w:rFonts w:eastAsiaTheme="majorEastAsia" w:cstheme="majorBidi"/>
      <w:b/>
      <w:color w:val="000000" w:themeColor="text1"/>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2276"/>
    <w:rPr>
      <w:rFonts w:eastAsiaTheme="majorEastAsia" w:cstheme="majorBidi"/>
      <w:color w:val="000000" w:themeColor="text1"/>
      <w:sz w:val="32"/>
      <w:szCs w:val="32"/>
    </w:rPr>
  </w:style>
  <w:style w:type="character" w:customStyle="1" w:styleId="Overskrift2Tegn">
    <w:name w:val="Overskrift 2 Tegn"/>
    <w:basedOn w:val="Standardskrifttypeiafsnit"/>
    <w:link w:val="Overskrift2"/>
    <w:uiPriority w:val="9"/>
    <w:rsid w:val="00142276"/>
    <w:rPr>
      <w:rFonts w:eastAsiaTheme="majorEastAsia" w:cstheme="majorBidi"/>
      <w:color w:val="000000" w:themeColor="text1"/>
      <w:sz w:val="28"/>
      <w:szCs w:val="26"/>
    </w:rPr>
  </w:style>
  <w:style w:type="character" w:customStyle="1" w:styleId="Overskrift3Tegn">
    <w:name w:val="Overskrift 3 Tegn"/>
    <w:basedOn w:val="Standardskrifttypeiafsnit"/>
    <w:link w:val="Overskrift3"/>
    <w:uiPriority w:val="9"/>
    <w:semiHidden/>
    <w:rsid w:val="00142276"/>
    <w:rPr>
      <w:rFonts w:eastAsiaTheme="majorEastAsia" w:cstheme="majorBidi"/>
      <w:b/>
      <w:color w:val="000000" w:themeColor="text1"/>
      <w:sz w:val="24"/>
      <w:szCs w:val="24"/>
    </w:rPr>
  </w:style>
  <w:style w:type="paragraph" w:styleId="Sidehoved">
    <w:name w:val="header"/>
    <w:basedOn w:val="Normal"/>
    <w:link w:val="SidehovedTegn"/>
    <w:uiPriority w:val="99"/>
    <w:unhideWhenUsed/>
    <w:rsid w:val="009B70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70AC"/>
  </w:style>
  <w:style w:type="paragraph" w:styleId="Sidefod">
    <w:name w:val="footer"/>
    <w:basedOn w:val="Normal"/>
    <w:link w:val="SidefodTegn"/>
    <w:uiPriority w:val="99"/>
    <w:unhideWhenUsed/>
    <w:rsid w:val="009B70A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70AC"/>
  </w:style>
  <w:style w:type="table" w:styleId="Tabel-Gitter">
    <w:name w:val="Table Grid"/>
    <w:basedOn w:val="Tabel-Normal"/>
    <w:uiPriority w:val="39"/>
    <w:rsid w:val="009B7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67A91"/>
    <w:pPr>
      <w:ind w:left="720"/>
      <w:contextualSpacing/>
    </w:pPr>
  </w:style>
  <w:style w:type="character" w:styleId="Hyperlink">
    <w:name w:val="Hyperlink"/>
    <w:basedOn w:val="Standardskrifttypeiafsnit"/>
    <w:uiPriority w:val="99"/>
    <w:unhideWhenUsed/>
    <w:rsid w:val="002122A7"/>
    <w:rPr>
      <w:color w:val="0563C1" w:themeColor="hyperlink"/>
      <w:u w:val="single"/>
    </w:rPr>
  </w:style>
  <w:style w:type="paragraph" w:styleId="Markeringsbobletekst">
    <w:name w:val="Balloon Text"/>
    <w:basedOn w:val="Normal"/>
    <w:link w:val="MarkeringsbobletekstTegn"/>
    <w:uiPriority w:val="99"/>
    <w:semiHidden/>
    <w:unhideWhenUsed/>
    <w:rsid w:val="00D17F8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7F8A"/>
    <w:rPr>
      <w:rFonts w:ascii="Tahoma" w:hAnsi="Tahoma" w:cs="Tahoma"/>
      <w:sz w:val="16"/>
      <w:szCs w:val="16"/>
    </w:rPr>
  </w:style>
  <w:style w:type="table" w:customStyle="1" w:styleId="Tabel-Gitter1">
    <w:name w:val="Tabel - Gitter1"/>
    <w:basedOn w:val="Tabel-Normal"/>
    <w:next w:val="Tabel-Gitter"/>
    <w:rsid w:val="00151E8D"/>
    <w:pPr>
      <w:spacing w:after="0" w:line="240" w:lineRule="auto"/>
    </w:pPr>
    <w:rPr>
      <w:rFonts w:ascii="Times New Roman" w:eastAsia="Times New Roman" w:hAnsi="Times New Roman" w:cs="Times New Roman"/>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C450E7C-1F7A-44FA-AA5A-24258E5B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2953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Aabenraa Kommune</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Roest</dc:creator>
  <cp:lastModifiedBy>Erik Skallerup  Vejle Brandvæsen - Adm. og ledelse  Teknik &amp; Miljø  Vejle Kommune</cp:lastModifiedBy>
  <cp:revision>2</cp:revision>
  <cp:lastPrinted>2020-10-20T13:06:00Z</cp:lastPrinted>
  <dcterms:created xsi:type="dcterms:W3CDTF">2022-11-07T07:32:00Z</dcterms:created>
  <dcterms:modified xsi:type="dcterms:W3CDTF">2022-11-07T07:32:00Z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{4D5C1C18-64B1-4714-91C9-AC25A0AB59A0}</vt:lpwstr>
  </property>
</Properties>
</file>